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附件：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  <w:t>资产规模超过1万亿元的境内银行和省联社清单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1.国有大型商业银行（6家）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中国银行、农业银行、工商银行、建设银行、交通银行、邮储银行。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2.全国股份制商业银行（12家）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招商银行、浦发银行、中信银行、光大银行、华夏银行、民生银行、兴业银行、平安银行、广发银行、浙商银行、渤海银行、恒丰银行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全国政策性银行（3家）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国家开发银行、中国进出口银行、中国农业发展银行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4.资产规模超过1万亿元的城市商业银行总行（12家）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北京银行、上海银行、江苏银行、宁波银行、南京银行、徽商银行、盛京银行、杭州银行、中原银行、厦门国际银行、成都银行、长沙银行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5.资产规模超过1万亿元的省级农信联社（22家）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浙江农商联合银行（浙江省农村信用社联合社）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广东省农村信用社联合社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江苏省农村信用社联合社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山东省农村信用社联合社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河北省农村信用社联合社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河南农商联合银行（河南省农村信用社联合社）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四川农商联合银行（四川省农村信用社联合社）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安徽省农村信用社联合社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山西农商联合银行（山西省农村信用社联合社）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湖南省农村信用社联合社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云南省农村信用社联合社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湖北省农村信用社联合社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江西省农村信用社联合社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广西壮族自治区农村信用联合社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福建省农村信用社联合社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陕西省农村信用社联合社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重庆农村商业银行股份有限公司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北京农村商业银行股份有限公司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上海农村商业银行股份有限公司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甘肃省农村信用社联合社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吉林省农村信用社联合社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贵州省农村信用社联合社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A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微软雅黑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/>
      <w:ind w:left="420" w:leftChars="200" w:firstLine="420" w:firstLineChars="200"/>
    </w:pPr>
    <w:rPr>
      <w:rFonts w:ascii="Calibri" w:hAnsi="Calibri"/>
      <w:sz w:val="21"/>
      <w:szCs w:val="22"/>
      <w:lang w:val="en-US"/>
    </w:rPr>
  </w:style>
  <w:style w:type="paragraph" w:styleId="3">
    <w:name w:val="Body Text Indent"/>
    <w:basedOn w:val="1"/>
    <w:next w:val="4"/>
    <w:qFormat/>
    <w:uiPriority w:val="0"/>
    <w:pPr>
      <w:ind w:left="69" w:leftChars="33" w:firstLine="466" w:firstLineChars="194"/>
    </w:pPr>
    <w:rPr>
      <w:rFonts w:ascii="Arial Narrow" w:hAnsi="Arial Narrow"/>
      <w:kern w:val="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Man</dc:creator>
  <cp:lastModifiedBy>Man</cp:lastModifiedBy>
  <dcterms:modified xsi:type="dcterms:W3CDTF">2025-01-10T01:34:23Z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E31E55102D4B4B30B1A937CE038E4A94</vt:lpwstr>
  </property>
</Properties>
</file>